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51D9" w:rsidRDefault="00B951D9">
      <w:pPr>
        <w:rPr>
          <w:rFonts w:ascii="Tahoma" w:hAnsi="Tahoma"/>
          <w:sz w:val="20"/>
        </w:rPr>
      </w:pPr>
      <w:r>
        <w:rPr>
          <w:rFonts w:ascii="Tahoma" w:hAnsi="Tahoma"/>
          <w:b/>
          <w:bCs/>
        </w:rPr>
        <w:t xml:space="preserve">PEST Analysis Template </w:t>
      </w:r>
      <w:r>
        <w:rPr>
          <w:rFonts w:ascii="Tahoma" w:hAnsi="Tahoma"/>
          <w:sz w:val="20"/>
        </w:rPr>
        <w:t xml:space="preserve"> </w:t>
      </w:r>
    </w:p>
    <w:p w:rsidR="00B951D9" w:rsidRDefault="00B951D9">
      <w:pPr>
        <w:rPr>
          <w:rFonts w:ascii="Tahoma" w:eastAsia="Times New Roman" w:hAnsi="Tahoma"/>
          <w:sz w:val="6"/>
          <w:szCs w:val="6"/>
          <w:lang w:eastAsia="ar-SA"/>
        </w:rPr>
      </w:pPr>
    </w:p>
    <w:p w:rsidR="00B951D9" w:rsidRDefault="00B951D9">
      <w:pPr>
        <w:rPr>
          <w:rFonts w:ascii="Tahoma" w:eastAsia="Times New Roman" w:hAnsi="Tahoma"/>
          <w:sz w:val="20"/>
          <w:lang w:eastAsia="ar-SA"/>
        </w:rPr>
      </w:pPr>
      <w:r>
        <w:rPr>
          <w:rFonts w:ascii="Tahoma" w:eastAsia="Times New Roman" w:hAnsi="Tahoma"/>
          <w:sz w:val="20"/>
          <w:lang w:eastAsia="ar-SA"/>
        </w:rPr>
        <w:t>Situation being analysed: ______________________________________________________________________</w:t>
      </w:r>
    </w:p>
    <w:p w:rsidR="00B951D9" w:rsidRDefault="00B951D9">
      <w:pPr>
        <w:rPr>
          <w:rFonts w:ascii="Tahoma" w:eastAsia="Times New Roman" w:hAnsi="Tahoma"/>
          <w:sz w:val="6"/>
          <w:szCs w:val="6"/>
          <w:lang w:eastAsia="ar-SA"/>
        </w:rPr>
      </w:pPr>
    </w:p>
    <w:p w:rsidR="00B951D9" w:rsidRDefault="00B951D9">
      <w:pPr>
        <w:pStyle w:val="SmallStyle"/>
        <w:rPr>
          <w:sz w:val="20"/>
          <w:szCs w:val="32"/>
          <w:lang w:val="en-US" w:eastAsia="en-US" w:bidi="en-US"/>
        </w:rPr>
      </w:pPr>
      <w:r>
        <w:rPr>
          <w:sz w:val="20"/>
          <w:szCs w:val="32"/>
          <w:lang w:val="en-US" w:eastAsia="en-US" w:bidi="en-US"/>
        </w:rPr>
        <w:t xml:space="preserve">PEST analysis (political, </w:t>
      </w:r>
      <w:proofErr w:type="spellStart"/>
      <w:r>
        <w:rPr>
          <w:sz w:val="20"/>
          <w:szCs w:val="32"/>
          <w:lang w:val="en-US" w:eastAsia="en-US" w:bidi="en-US"/>
        </w:rPr>
        <w:t>economical</w:t>
      </w:r>
      <w:proofErr w:type="spellEnd"/>
      <w:r>
        <w:rPr>
          <w:sz w:val="20"/>
          <w:szCs w:val="32"/>
          <w:lang w:val="en-US" w:eastAsia="en-US" w:bidi="en-US"/>
        </w:rPr>
        <w:t xml:space="preserve">, social, technological) assesses a market, including competitors, from the standpoint of a </w:t>
      </w:r>
      <w:proofErr w:type="gramStart"/>
      <w:r>
        <w:rPr>
          <w:sz w:val="20"/>
          <w:szCs w:val="32"/>
          <w:lang w:val="en-US" w:eastAsia="en-US" w:bidi="en-US"/>
        </w:rPr>
        <w:t>particular proposition</w:t>
      </w:r>
      <w:proofErr w:type="gramEnd"/>
      <w:r>
        <w:rPr>
          <w:sz w:val="20"/>
          <w:szCs w:val="32"/>
          <w:lang w:val="en-US" w:eastAsia="en-US" w:bidi="en-US"/>
        </w:rPr>
        <w:t xml:space="preserve"> or a business. </w:t>
      </w:r>
    </w:p>
    <w:p w:rsidR="00B951D9" w:rsidRDefault="00B951D9">
      <w:pPr>
        <w:rPr>
          <w:rFonts w:ascii="Tahoma" w:eastAsia="Times New Roman" w:hAnsi="Tahoma"/>
          <w:sz w:val="20"/>
          <w:lang w:eastAsia="ar-SA"/>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2026"/>
        <w:gridCol w:w="2961"/>
        <w:gridCol w:w="2964"/>
        <w:gridCol w:w="2026"/>
      </w:tblGrid>
      <w:tr w:rsidR="00B951D9">
        <w:trPr>
          <w:trHeight w:val="3589"/>
        </w:trPr>
        <w:tc>
          <w:tcPr>
            <w:tcW w:w="2026" w:type="dxa"/>
            <w:tcBorders>
              <w:top w:val="single" w:sz="1" w:space="0" w:color="000000"/>
              <w:left w:val="single" w:sz="1" w:space="0" w:color="000000"/>
              <w:bottom w:val="single" w:sz="1" w:space="0" w:color="000000"/>
            </w:tcBorders>
          </w:tcPr>
          <w:p w:rsidR="00B951D9" w:rsidRDefault="00B951D9">
            <w:pPr>
              <w:snapToGrid w:val="0"/>
              <w:rPr>
                <w:rFonts w:ascii="Tahoma" w:eastAsia="Times New Roman" w:hAnsi="Tahoma"/>
                <w:b/>
                <w:bCs/>
                <w:sz w:val="16"/>
                <w:lang w:eastAsia="ar-SA"/>
              </w:rPr>
            </w:pPr>
            <w:r>
              <w:rPr>
                <w:rFonts w:ascii="Tahoma" w:eastAsia="Times New Roman" w:hAnsi="Tahoma"/>
                <w:b/>
                <w:bCs/>
                <w:sz w:val="16"/>
                <w:lang w:eastAsia="ar-SA"/>
              </w:rPr>
              <w:t xml:space="preserve">criteria examples </w:t>
            </w:r>
          </w:p>
          <w:p w:rsidR="00B951D9" w:rsidRDefault="00B951D9">
            <w:pPr>
              <w:rPr>
                <w:rFonts w:ascii="Tahoma" w:eastAsia="Times New Roman" w:hAnsi="Tahoma"/>
                <w:sz w:val="16"/>
                <w:lang w:eastAsia="ar-SA"/>
              </w:rPr>
            </w:pPr>
          </w:p>
          <w:p w:rsidR="00B951D9" w:rsidRDefault="00B951D9">
            <w:pPr>
              <w:pStyle w:val="SmallStyle"/>
              <w:rPr>
                <w:szCs w:val="32"/>
                <w:lang w:val="en-US" w:eastAsia="en-US" w:bidi="en-US"/>
              </w:rPr>
            </w:pPr>
            <w:r>
              <w:rPr>
                <w:szCs w:val="32"/>
                <w:lang w:val="en-US" w:eastAsia="en-US" w:bidi="en-US"/>
              </w:rPr>
              <w:t xml:space="preserve">ecological/environmental current legislation  </w:t>
            </w:r>
          </w:p>
          <w:p w:rsidR="00B951D9" w:rsidRDefault="00B951D9">
            <w:pPr>
              <w:pStyle w:val="SmallStyle"/>
              <w:rPr>
                <w:szCs w:val="32"/>
                <w:lang w:val="en-US" w:eastAsia="en-US" w:bidi="en-US"/>
              </w:rPr>
            </w:pPr>
            <w:r>
              <w:rPr>
                <w:szCs w:val="32"/>
                <w:lang w:val="en-US" w:eastAsia="en-US" w:bidi="en-US"/>
              </w:rPr>
              <w:t xml:space="preserve">future legislation </w:t>
            </w:r>
          </w:p>
          <w:p w:rsidR="00B951D9" w:rsidRDefault="00B951D9">
            <w:pPr>
              <w:pStyle w:val="SmallStyle"/>
              <w:rPr>
                <w:szCs w:val="32"/>
                <w:lang w:val="en-US" w:eastAsia="en-US" w:bidi="en-US"/>
              </w:rPr>
            </w:pPr>
            <w:r>
              <w:rPr>
                <w:szCs w:val="32"/>
                <w:lang w:val="en-US" w:eastAsia="en-US" w:bidi="en-US"/>
              </w:rPr>
              <w:t xml:space="preserve">international legislation </w:t>
            </w:r>
          </w:p>
          <w:p w:rsidR="00B951D9" w:rsidRDefault="00B951D9">
            <w:pPr>
              <w:pStyle w:val="SmallStyle"/>
              <w:rPr>
                <w:szCs w:val="32"/>
                <w:lang w:val="en-US" w:eastAsia="en-US" w:bidi="en-US"/>
              </w:rPr>
            </w:pPr>
            <w:r>
              <w:rPr>
                <w:szCs w:val="32"/>
                <w:lang w:val="en-US" w:eastAsia="en-US" w:bidi="en-US"/>
              </w:rPr>
              <w:t xml:space="preserve">regulatory bodies and processes </w:t>
            </w:r>
          </w:p>
          <w:p w:rsidR="00B951D9" w:rsidRDefault="00B951D9">
            <w:pPr>
              <w:pStyle w:val="SmallStyle"/>
              <w:rPr>
                <w:szCs w:val="32"/>
                <w:lang w:val="en-US" w:eastAsia="en-US" w:bidi="en-US"/>
              </w:rPr>
            </w:pPr>
            <w:r>
              <w:rPr>
                <w:szCs w:val="32"/>
                <w:lang w:val="en-US" w:eastAsia="en-US" w:bidi="en-US"/>
              </w:rPr>
              <w:t xml:space="preserve">government policies </w:t>
            </w:r>
          </w:p>
          <w:p w:rsidR="00B951D9" w:rsidRDefault="00B951D9">
            <w:pPr>
              <w:pStyle w:val="SmallStyle"/>
              <w:rPr>
                <w:szCs w:val="32"/>
                <w:lang w:val="en-US" w:eastAsia="en-US" w:bidi="en-US"/>
              </w:rPr>
            </w:pPr>
            <w:r>
              <w:rPr>
                <w:szCs w:val="32"/>
                <w:lang w:val="en-US" w:eastAsia="en-US" w:bidi="en-US"/>
              </w:rPr>
              <w:t xml:space="preserve">government term and change </w:t>
            </w:r>
          </w:p>
          <w:p w:rsidR="00B951D9" w:rsidRDefault="00B951D9">
            <w:pPr>
              <w:pStyle w:val="SmallStyle"/>
              <w:rPr>
                <w:szCs w:val="32"/>
                <w:lang w:val="en-US" w:eastAsia="en-US" w:bidi="en-US"/>
              </w:rPr>
            </w:pPr>
            <w:r>
              <w:rPr>
                <w:szCs w:val="32"/>
                <w:lang w:val="en-US" w:eastAsia="en-US" w:bidi="en-US"/>
              </w:rPr>
              <w:t xml:space="preserve">trading policies </w:t>
            </w:r>
          </w:p>
          <w:p w:rsidR="00B951D9" w:rsidRDefault="00B951D9">
            <w:pPr>
              <w:pStyle w:val="SmallStyle"/>
              <w:rPr>
                <w:szCs w:val="32"/>
                <w:lang w:val="en-US" w:eastAsia="en-US" w:bidi="en-US"/>
              </w:rPr>
            </w:pPr>
            <w:r>
              <w:rPr>
                <w:szCs w:val="32"/>
                <w:lang w:val="en-US" w:eastAsia="en-US" w:bidi="en-US"/>
              </w:rPr>
              <w:t xml:space="preserve">funding, grants and initiatives </w:t>
            </w:r>
          </w:p>
          <w:p w:rsidR="00B951D9" w:rsidRDefault="00B951D9">
            <w:pPr>
              <w:pStyle w:val="SmallStyle"/>
              <w:rPr>
                <w:szCs w:val="32"/>
                <w:lang w:val="en-US" w:eastAsia="en-US" w:bidi="en-US"/>
              </w:rPr>
            </w:pPr>
            <w:r>
              <w:rPr>
                <w:szCs w:val="32"/>
                <w:lang w:val="en-US" w:eastAsia="en-US" w:bidi="en-US"/>
              </w:rPr>
              <w:t xml:space="preserve">home market pressure- groups </w:t>
            </w:r>
          </w:p>
          <w:p w:rsidR="00B951D9" w:rsidRDefault="00B951D9">
            <w:pPr>
              <w:pStyle w:val="SmallStyle"/>
              <w:rPr>
                <w:szCs w:val="32"/>
                <w:lang w:val="en-US" w:eastAsia="en-US" w:bidi="en-US"/>
              </w:rPr>
            </w:pPr>
            <w:r>
              <w:rPr>
                <w:szCs w:val="32"/>
                <w:lang w:val="en-US" w:eastAsia="en-US" w:bidi="en-US"/>
              </w:rPr>
              <w:t xml:space="preserve">international pressure- groups </w:t>
            </w:r>
          </w:p>
          <w:p w:rsidR="00B951D9" w:rsidRDefault="00B951D9">
            <w:pPr>
              <w:pStyle w:val="SmallStyle"/>
              <w:rPr>
                <w:szCs w:val="32"/>
                <w:lang w:val="en-US" w:eastAsia="en-US" w:bidi="en-US"/>
              </w:rPr>
            </w:pPr>
            <w:r>
              <w:rPr>
                <w:szCs w:val="32"/>
                <w:lang w:val="en-US" w:eastAsia="en-US" w:bidi="en-US"/>
              </w:rPr>
              <w:t xml:space="preserve">wars and conflicts </w:t>
            </w: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pPr>
          </w:p>
        </w:tc>
        <w:tc>
          <w:tcPr>
            <w:tcW w:w="2961" w:type="dxa"/>
            <w:tcBorders>
              <w:top w:val="single" w:sz="1" w:space="0" w:color="000000"/>
              <w:left w:val="single" w:sz="1" w:space="0" w:color="000000"/>
              <w:bottom w:val="single" w:sz="1" w:space="0" w:color="000000"/>
            </w:tcBorders>
          </w:tcPr>
          <w:p w:rsidR="00B951D9" w:rsidRPr="00B95F3B" w:rsidRDefault="00B951D9">
            <w:pPr>
              <w:pStyle w:val="TableContents"/>
              <w:snapToGrid w:val="0"/>
              <w:rPr>
                <w:rFonts w:ascii="Tahoma" w:eastAsia="Times New Roman" w:hAnsi="Tahoma"/>
                <w:b/>
                <w:bCs/>
                <w:sz w:val="16"/>
                <w:szCs w:val="16"/>
              </w:rPr>
            </w:pPr>
            <w:r w:rsidRPr="00B95F3B">
              <w:rPr>
                <w:rFonts w:ascii="Tahoma" w:eastAsia="Times New Roman" w:hAnsi="Tahoma"/>
                <w:b/>
                <w:bCs/>
                <w:sz w:val="16"/>
                <w:szCs w:val="16"/>
              </w:rPr>
              <w:t>political</w:t>
            </w:r>
            <w:bookmarkStart w:id="0" w:name="_GoBack"/>
            <w:bookmarkEnd w:id="0"/>
          </w:p>
        </w:tc>
        <w:tc>
          <w:tcPr>
            <w:tcW w:w="2964" w:type="dxa"/>
            <w:tcBorders>
              <w:top w:val="single" w:sz="1" w:space="0" w:color="000000"/>
              <w:left w:val="single" w:sz="1" w:space="0" w:color="000000"/>
              <w:bottom w:val="single" w:sz="1" w:space="0" w:color="000000"/>
            </w:tcBorders>
          </w:tcPr>
          <w:p w:rsidR="00B951D9" w:rsidRPr="00B95F3B" w:rsidRDefault="00B951D9">
            <w:pPr>
              <w:pStyle w:val="TableContents"/>
              <w:snapToGrid w:val="0"/>
              <w:rPr>
                <w:rFonts w:ascii="Tahoma" w:eastAsia="Times New Roman" w:hAnsi="Tahoma"/>
                <w:b/>
                <w:bCs/>
                <w:sz w:val="16"/>
                <w:szCs w:val="16"/>
              </w:rPr>
            </w:pPr>
            <w:r w:rsidRPr="00B95F3B">
              <w:rPr>
                <w:rFonts w:ascii="Tahoma" w:eastAsia="Times New Roman" w:hAnsi="Tahoma"/>
                <w:b/>
                <w:bCs/>
                <w:sz w:val="16"/>
                <w:szCs w:val="16"/>
              </w:rPr>
              <w:t>economical</w:t>
            </w:r>
          </w:p>
        </w:tc>
        <w:tc>
          <w:tcPr>
            <w:tcW w:w="2026" w:type="dxa"/>
            <w:tcBorders>
              <w:top w:val="single" w:sz="1" w:space="0" w:color="000000"/>
              <w:left w:val="single" w:sz="1" w:space="0" w:color="000000"/>
              <w:bottom w:val="single" w:sz="1" w:space="0" w:color="000000"/>
              <w:right w:val="single" w:sz="1" w:space="0" w:color="000000"/>
            </w:tcBorders>
          </w:tcPr>
          <w:p w:rsidR="00B951D9" w:rsidRDefault="00B951D9">
            <w:pPr>
              <w:pStyle w:val="Heading2"/>
              <w:tabs>
                <w:tab w:val="left" w:pos="0"/>
              </w:tabs>
              <w:snapToGrid w:val="0"/>
              <w:spacing w:before="0" w:after="0"/>
              <w:rPr>
                <w:rFonts w:ascii="Tahoma" w:eastAsia="Times New Roman" w:hAnsi="Tahoma"/>
                <w:sz w:val="16"/>
                <w:lang w:eastAsia="ar-SA"/>
              </w:rPr>
            </w:pPr>
            <w:r>
              <w:rPr>
                <w:rFonts w:ascii="Tahoma" w:eastAsia="Times New Roman" w:hAnsi="Tahoma"/>
                <w:sz w:val="16"/>
                <w:lang w:eastAsia="ar-SA"/>
              </w:rPr>
              <w:t>criteria examples</w:t>
            </w:r>
          </w:p>
          <w:p w:rsidR="00B951D9" w:rsidRDefault="00B951D9">
            <w:pPr>
              <w:pStyle w:val="Heading2"/>
              <w:tabs>
                <w:tab w:val="left" w:pos="0"/>
              </w:tabs>
              <w:spacing w:before="0" w:after="0"/>
              <w:rPr>
                <w:rFonts w:eastAsia="Times New Roman"/>
                <w:b w:val="0"/>
                <w:bCs w:val="0"/>
                <w:sz w:val="16"/>
                <w:lang w:eastAsia="ar-SA"/>
              </w:rPr>
            </w:pPr>
          </w:p>
          <w:p w:rsidR="00B951D9" w:rsidRDefault="00B951D9">
            <w:pPr>
              <w:pStyle w:val="SmallStyle"/>
              <w:rPr>
                <w:szCs w:val="32"/>
                <w:lang w:val="en-US" w:eastAsia="en-US" w:bidi="en-US"/>
              </w:rPr>
            </w:pPr>
            <w:r>
              <w:rPr>
                <w:szCs w:val="32"/>
                <w:lang w:val="en-US" w:eastAsia="en-US" w:bidi="en-US"/>
              </w:rPr>
              <w:t xml:space="preserve">home economy </w:t>
            </w:r>
          </w:p>
          <w:p w:rsidR="00B951D9" w:rsidRDefault="00B951D9">
            <w:pPr>
              <w:pStyle w:val="SmallStyle"/>
              <w:rPr>
                <w:szCs w:val="32"/>
                <w:lang w:val="en-US" w:eastAsia="en-US" w:bidi="en-US"/>
              </w:rPr>
            </w:pPr>
            <w:r>
              <w:rPr>
                <w:szCs w:val="32"/>
                <w:lang w:val="en-US" w:eastAsia="en-US" w:bidi="en-US"/>
              </w:rPr>
              <w:t>economy trends</w:t>
            </w:r>
          </w:p>
          <w:p w:rsidR="00B951D9" w:rsidRDefault="00B951D9">
            <w:pPr>
              <w:pStyle w:val="SmallStyle"/>
              <w:rPr>
                <w:szCs w:val="32"/>
                <w:lang w:val="en-US" w:eastAsia="en-US" w:bidi="en-US"/>
              </w:rPr>
            </w:pPr>
            <w:r>
              <w:rPr>
                <w:szCs w:val="32"/>
                <w:lang w:val="en-US" w:eastAsia="en-US" w:bidi="en-US"/>
              </w:rPr>
              <w:t xml:space="preserve">overseas economies </w:t>
            </w:r>
          </w:p>
          <w:p w:rsidR="00B951D9" w:rsidRDefault="00B951D9">
            <w:pPr>
              <w:pStyle w:val="SmallStyle"/>
              <w:rPr>
                <w:szCs w:val="32"/>
                <w:lang w:val="en-US" w:eastAsia="en-US" w:bidi="en-US"/>
              </w:rPr>
            </w:pPr>
            <w:r>
              <w:rPr>
                <w:szCs w:val="32"/>
                <w:lang w:val="en-US" w:eastAsia="en-US" w:bidi="en-US"/>
              </w:rPr>
              <w:t xml:space="preserve">general taxation </w:t>
            </w:r>
          </w:p>
          <w:p w:rsidR="00B951D9" w:rsidRDefault="00B951D9">
            <w:pPr>
              <w:pStyle w:val="SmallStyle"/>
              <w:rPr>
                <w:szCs w:val="32"/>
                <w:lang w:val="en-US" w:eastAsia="en-US" w:bidi="en-US"/>
              </w:rPr>
            </w:pPr>
            <w:r>
              <w:rPr>
                <w:szCs w:val="32"/>
                <w:lang w:val="en-US" w:eastAsia="en-US" w:bidi="en-US"/>
              </w:rPr>
              <w:t>taxation specific to product/services</w:t>
            </w:r>
          </w:p>
          <w:p w:rsidR="00B951D9" w:rsidRDefault="00B951D9">
            <w:pPr>
              <w:pStyle w:val="SmallStyle"/>
              <w:rPr>
                <w:szCs w:val="32"/>
                <w:lang w:val="en-US" w:eastAsia="en-US" w:bidi="en-US"/>
              </w:rPr>
            </w:pPr>
            <w:r>
              <w:rPr>
                <w:szCs w:val="32"/>
                <w:lang w:val="en-US" w:eastAsia="en-US" w:bidi="en-US"/>
              </w:rPr>
              <w:t>seasonality issues</w:t>
            </w:r>
          </w:p>
          <w:p w:rsidR="00B951D9" w:rsidRDefault="00B951D9">
            <w:pPr>
              <w:pStyle w:val="SmallStyle"/>
              <w:rPr>
                <w:szCs w:val="32"/>
                <w:lang w:val="en-US" w:eastAsia="en-US" w:bidi="en-US"/>
              </w:rPr>
            </w:pPr>
            <w:r>
              <w:rPr>
                <w:szCs w:val="32"/>
                <w:lang w:val="en-US" w:eastAsia="en-US" w:bidi="en-US"/>
              </w:rPr>
              <w:t>market/trade cycles</w:t>
            </w:r>
          </w:p>
          <w:p w:rsidR="00B951D9" w:rsidRDefault="00B951D9">
            <w:pPr>
              <w:pStyle w:val="SmallStyle"/>
              <w:rPr>
                <w:szCs w:val="32"/>
                <w:lang w:val="en-US" w:eastAsia="en-US" w:bidi="en-US"/>
              </w:rPr>
            </w:pPr>
            <w:r>
              <w:rPr>
                <w:szCs w:val="32"/>
                <w:lang w:val="en-US" w:eastAsia="en-US" w:bidi="en-US"/>
              </w:rPr>
              <w:t>specific industry factors</w:t>
            </w:r>
          </w:p>
          <w:p w:rsidR="00B951D9" w:rsidRDefault="00B951D9">
            <w:pPr>
              <w:pStyle w:val="SmallStyle"/>
              <w:rPr>
                <w:szCs w:val="32"/>
                <w:lang w:val="en-US" w:eastAsia="en-US" w:bidi="en-US"/>
              </w:rPr>
            </w:pPr>
            <w:r>
              <w:rPr>
                <w:szCs w:val="32"/>
                <w:lang w:val="en-US" w:eastAsia="en-US" w:bidi="en-US"/>
              </w:rPr>
              <w:t>market routes trends</w:t>
            </w:r>
          </w:p>
          <w:p w:rsidR="00B951D9" w:rsidRDefault="00B951D9">
            <w:pPr>
              <w:pStyle w:val="SmallStyle"/>
              <w:rPr>
                <w:szCs w:val="32"/>
                <w:lang w:val="en-US" w:eastAsia="en-US" w:bidi="en-US"/>
              </w:rPr>
            </w:pPr>
            <w:r>
              <w:rPr>
                <w:szCs w:val="32"/>
                <w:lang w:val="en-US" w:eastAsia="en-US" w:bidi="en-US"/>
              </w:rPr>
              <w:t>distribution trends</w:t>
            </w:r>
          </w:p>
          <w:p w:rsidR="00B951D9" w:rsidRDefault="00B951D9">
            <w:pPr>
              <w:pStyle w:val="SmallStyle"/>
              <w:rPr>
                <w:szCs w:val="32"/>
                <w:lang w:val="en-US" w:eastAsia="en-US" w:bidi="en-US"/>
              </w:rPr>
            </w:pPr>
            <w:r>
              <w:rPr>
                <w:szCs w:val="32"/>
                <w:lang w:val="en-US" w:eastAsia="en-US" w:bidi="en-US"/>
              </w:rPr>
              <w:t>customer/end-user drivers</w:t>
            </w:r>
          </w:p>
          <w:p w:rsidR="00B951D9" w:rsidRDefault="00B951D9">
            <w:pPr>
              <w:pStyle w:val="SmallStyle"/>
              <w:rPr>
                <w:szCs w:val="32"/>
                <w:lang w:val="en-US" w:eastAsia="en-US" w:bidi="en-US"/>
              </w:rPr>
            </w:pPr>
            <w:r>
              <w:rPr>
                <w:szCs w:val="32"/>
                <w:lang w:val="en-US" w:eastAsia="en-US" w:bidi="en-US"/>
              </w:rPr>
              <w:t>interest/ exchange rates</w:t>
            </w:r>
          </w:p>
          <w:p w:rsidR="00B951D9" w:rsidRDefault="00B951D9">
            <w:pPr>
              <w:pStyle w:val="SmallStyle"/>
              <w:rPr>
                <w:szCs w:val="32"/>
                <w:lang w:val="en-US" w:eastAsia="en-US" w:bidi="en-US"/>
              </w:rPr>
            </w:pPr>
            <w:r>
              <w:rPr>
                <w:szCs w:val="32"/>
                <w:lang w:val="en-US" w:eastAsia="en-US" w:bidi="en-US"/>
              </w:rPr>
              <w:t>international trade and monetary issues</w:t>
            </w: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tc>
      </w:tr>
      <w:tr w:rsidR="00B951D9">
        <w:tc>
          <w:tcPr>
            <w:tcW w:w="2026" w:type="dxa"/>
            <w:tcBorders>
              <w:left w:val="single" w:sz="1" w:space="0" w:color="000000"/>
              <w:bottom w:val="single" w:sz="1" w:space="0" w:color="000000"/>
            </w:tcBorders>
          </w:tcPr>
          <w:p w:rsidR="00B951D9" w:rsidRDefault="00B951D9">
            <w:pPr>
              <w:pStyle w:val="Heading2"/>
              <w:tabs>
                <w:tab w:val="left" w:pos="0"/>
              </w:tabs>
              <w:snapToGrid w:val="0"/>
              <w:spacing w:before="0" w:after="0"/>
              <w:rPr>
                <w:rFonts w:ascii="Tahoma" w:eastAsia="Times New Roman" w:hAnsi="Tahoma"/>
                <w:sz w:val="16"/>
                <w:lang w:eastAsia="ar-SA"/>
              </w:rPr>
            </w:pPr>
            <w:r>
              <w:rPr>
                <w:rFonts w:ascii="Tahoma" w:eastAsia="Times New Roman" w:hAnsi="Tahoma"/>
                <w:sz w:val="16"/>
                <w:lang w:eastAsia="ar-SA"/>
              </w:rPr>
              <w:t>criteria examples</w:t>
            </w:r>
          </w:p>
          <w:p w:rsidR="00B951D9" w:rsidRDefault="00B951D9">
            <w:pPr>
              <w:pStyle w:val="Heading2"/>
              <w:tabs>
                <w:tab w:val="left" w:pos="0"/>
              </w:tabs>
              <w:spacing w:before="0" w:after="0"/>
              <w:rPr>
                <w:rFonts w:eastAsia="Times New Roman"/>
                <w:b w:val="0"/>
                <w:bCs w:val="0"/>
                <w:sz w:val="16"/>
                <w:lang w:eastAsia="ar-SA"/>
              </w:rPr>
            </w:pPr>
          </w:p>
          <w:p w:rsidR="00B951D9" w:rsidRDefault="00B951D9">
            <w:pPr>
              <w:pStyle w:val="SmallStyle"/>
              <w:rPr>
                <w:szCs w:val="32"/>
                <w:lang w:val="en-US" w:eastAsia="en-US" w:bidi="en-US"/>
              </w:rPr>
            </w:pPr>
            <w:r>
              <w:rPr>
                <w:szCs w:val="32"/>
                <w:lang w:val="en-US" w:eastAsia="en-US" w:bidi="en-US"/>
              </w:rPr>
              <w:t>lifestyle trends</w:t>
            </w:r>
          </w:p>
          <w:p w:rsidR="00B951D9" w:rsidRDefault="00B951D9">
            <w:pPr>
              <w:pStyle w:val="SmallStyle"/>
              <w:rPr>
                <w:szCs w:val="32"/>
                <w:lang w:val="en-US" w:eastAsia="en-US" w:bidi="en-US"/>
              </w:rPr>
            </w:pPr>
            <w:r>
              <w:rPr>
                <w:szCs w:val="32"/>
                <w:lang w:val="en-US" w:eastAsia="en-US" w:bidi="en-US"/>
              </w:rPr>
              <w:t>demographics</w:t>
            </w:r>
          </w:p>
          <w:p w:rsidR="00B951D9" w:rsidRDefault="00B951D9">
            <w:pPr>
              <w:pStyle w:val="SmallStyle"/>
              <w:rPr>
                <w:szCs w:val="32"/>
                <w:lang w:val="en-US" w:eastAsia="en-US" w:bidi="en-US"/>
              </w:rPr>
            </w:pPr>
            <w:r>
              <w:rPr>
                <w:szCs w:val="32"/>
                <w:lang w:val="en-US" w:eastAsia="en-US" w:bidi="en-US"/>
              </w:rPr>
              <w:t>consumer attitudes and opinions</w:t>
            </w:r>
          </w:p>
          <w:p w:rsidR="00B951D9" w:rsidRDefault="00B951D9">
            <w:pPr>
              <w:pStyle w:val="SmallStyle"/>
              <w:rPr>
                <w:szCs w:val="32"/>
                <w:lang w:val="en-US" w:eastAsia="en-US" w:bidi="en-US"/>
              </w:rPr>
            </w:pPr>
            <w:r>
              <w:rPr>
                <w:szCs w:val="32"/>
                <w:lang w:val="en-US" w:eastAsia="en-US" w:bidi="en-US"/>
              </w:rPr>
              <w:t>media views</w:t>
            </w:r>
          </w:p>
          <w:p w:rsidR="00B951D9" w:rsidRDefault="00B951D9">
            <w:pPr>
              <w:pStyle w:val="SmallStyle"/>
              <w:rPr>
                <w:szCs w:val="32"/>
                <w:lang w:val="en-US" w:eastAsia="en-US" w:bidi="en-US"/>
              </w:rPr>
            </w:pPr>
            <w:r>
              <w:rPr>
                <w:szCs w:val="32"/>
                <w:lang w:val="en-US" w:eastAsia="en-US" w:bidi="en-US"/>
              </w:rPr>
              <w:t>law changes affecting social factors</w:t>
            </w:r>
          </w:p>
          <w:p w:rsidR="00B951D9" w:rsidRDefault="00B951D9">
            <w:pPr>
              <w:pStyle w:val="SmallStyle"/>
              <w:rPr>
                <w:szCs w:val="32"/>
                <w:lang w:val="en-US" w:eastAsia="en-US" w:bidi="en-US"/>
              </w:rPr>
            </w:pPr>
            <w:r>
              <w:rPr>
                <w:szCs w:val="32"/>
                <w:lang w:val="en-US" w:eastAsia="en-US" w:bidi="en-US"/>
              </w:rPr>
              <w:t>brand, company, technology image</w:t>
            </w:r>
          </w:p>
          <w:p w:rsidR="00B951D9" w:rsidRDefault="00B951D9">
            <w:pPr>
              <w:pStyle w:val="SmallStyle"/>
              <w:rPr>
                <w:szCs w:val="32"/>
                <w:lang w:val="en-US" w:eastAsia="en-US" w:bidi="en-US"/>
              </w:rPr>
            </w:pPr>
            <w:r>
              <w:rPr>
                <w:szCs w:val="32"/>
                <w:lang w:val="en-US" w:eastAsia="en-US" w:bidi="en-US"/>
              </w:rPr>
              <w:t>consumer buying patterns</w:t>
            </w:r>
          </w:p>
          <w:p w:rsidR="00B951D9" w:rsidRDefault="00B951D9">
            <w:pPr>
              <w:pStyle w:val="SmallStyle"/>
              <w:rPr>
                <w:szCs w:val="32"/>
                <w:lang w:val="en-US" w:eastAsia="en-US" w:bidi="en-US"/>
              </w:rPr>
            </w:pPr>
            <w:r>
              <w:rPr>
                <w:szCs w:val="32"/>
                <w:lang w:val="en-US" w:eastAsia="en-US" w:bidi="en-US"/>
              </w:rPr>
              <w:t>fashion and role models</w:t>
            </w:r>
          </w:p>
          <w:p w:rsidR="00B951D9" w:rsidRDefault="00B951D9">
            <w:pPr>
              <w:pStyle w:val="SmallStyle"/>
              <w:rPr>
                <w:szCs w:val="32"/>
                <w:lang w:val="en-US" w:eastAsia="en-US" w:bidi="en-US"/>
              </w:rPr>
            </w:pPr>
            <w:r>
              <w:rPr>
                <w:szCs w:val="32"/>
                <w:lang w:val="en-US" w:eastAsia="en-US" w:bidi="en-US"/>
              </w:rPr>
              <w:t>major events and influences</w:t>
            </w:r>
          </w:p>
          <w:p w:rsidR="00B951D9" w:rsidRDefault="00B951D9">
            <w:pPr>
              <w:pStyle w:val="SmallStyle"/>
              <w:rPr>
                <w:szCs w:val="32"/>
                <w:lang w:val="en-US" w:eastAsia="en-US" w:bidi="en-US"/>
              </w:rPr>
            </w:pPr>
            <w:r>
              <w:rPr>
                <w:szCs w:val="32"/>
                <w:lang w:val="en-US" w:eastAsia="en-US" w:bidi="en-US"/>
              </w:rPr>
              <w:t>buying access and trends</w:t>
            </w:r>
          </w:p>
          <w:p w:rsidR="00B951D9" w:rsidRDefault="00B951D9">
            <w:pPr>
              <w:pStyle w:val="SmallStyle"/>
              <w:rPr>
                <w:szCs w:val="32"/>
                <w:lang w:val="en-US" w:eastAsia="en-US" w:bidi="en-US"/>
              </w:rPr>
            </w:pPr>
            <w:r>
              <w:rPr>
                <w:szCs w:val="32"/>
                <w:lang w:val="en-US" w:eastAsia="en-US" w:bidi="en-US"/>
              </w:rPr>
              <w:t>ethnic/religious factors</w:t>
            </w:r>
          </w:p>
          <w:p w:rsidR="00B951D9" w:rsidRDefault="00B951D9">
            <w:pPr>
              <w:pStyle w:val="SmallStyle"/>
              <w:rPr>
                <w:szCs w:val="32"/>
                <w:lang w:val="en-US" w:eastAsia="en-US" w:bidi="en-US"/>
              </w:rPr>
            </w:pPr>
            <w:r>
              <w:rPr>
                <w:szCs w:val="32"/>
                <w:lang w:val="en-US" w:eastAsia="en-US" w:bidi="en-US"/>
              </w:rPr>
              <w:t>advertising and publicity</w:t>
            </w:r>
          </w:p>
          <w:p w:rsidR="00B951D9" w:rsidRDefault="00B951D9">
            <w:pPr>
              <w:pStyle w:val="SmallStyle"/>
              <w:rPr>
                <w:szCs w:val="32"/>
                <w:lang w:val="en-US" w:eastAsia="en-US" w:bidi="en-US"/>
              </w:rPr>
            </w:pPr>
            <w:r>
              <w:rPr>
                <w:szCs w:val="32"/>
                <w:lang w:val="en-US" w:eastAsia="en-US" w:bidi="en-US"/>
              </w:rPr>
              <w:t>ethical issues</w:t>
            </w: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rPr>
                <w:szCs w:val="32"/>
                <w:lang w:val="en-US" w:eastAsia="en-US" w:bidi="en-US"/>
              </w:rPr>
            </w:pPr>
          </w:p>
          <w:p w:rsidR="00B951D9" w:rsidRDefault="00B951D9">
            <w:pPr>
              <w:pStyle w:val="SmallStyle"/>
            </w:pPr>
          </w:p>
        </w:tc>
        <w:tc>
          <w:tcPr>
            <w:tcW w:w="2961" w:type="dxa"/>
            <w:tcBorders>
              <w:left w:val="single" w:sz="1" w:space="0" w:color="000000"/>
              <w:bottom w:val="single" w:sz="1" w:space="0" w:color="000000"/>
            </w:tcBorders>
          </w:tcPr>
          <w:p w:rsidR="00B951D9" w:rsidRPr="00B95F3B" w:rsidRDefault="00B951D9">
            <w:pPr>
              <w:pStyle w:val="TableContents"/>
              <w:snapToGrid w:val="0"/>
              <w:rPr>
                <w:rFonts w:ascii="Tahoma" w:eastAsia="Times New Roman" w:hAnsi="Tahoma"/>
                <w:b/>
                <w:bCs/>
                <w:sz w:val="16"/>
                <w:szCs w:val="16"/>
              </w:rPr>
            </w:pPr>
            <w:r w:rsidRPr="00B95F3B">
              <w:rPr>
                <w:rFonts w:ascii="Tahoma" w:eastAsia="Times New Roman" w:hAnsi="Tahoma"/>
                <w:b/>
                <w:bCs/>
                <w:sz w:val="16"/>
                <w:szCs w:val="16"/>
              </w:rPr>
              <w:t>social</w:t>
            </w:r>
          </w:p>
        </w:tc>
        <w:tc>
          <w:tcPr>
            <w:tcW w:w="2964" w:type="dxa"/>
            <w:tcBorders>
              <w:left w:val="single" w:sz="1" w:space="0" w:color="000000"/>
              <w:bottom w:val="single" w:sz="1" w:space="0" w:color="000000"/>
            </w:tcBorders>
          </w:tcPr>
          <w:p w:rsidR="00B951D9" w:rsidRPr="00B95F3B" w:rsidRDefault="00B951D9">
            <w:pPr>
              <w:pStyle w:val="TableContents"/>
              <w:snapToGrid w:val="0"/>
              <w:rPr>
                <w:rFonts w:ascii="Tahoma" w:eastAsia="Times New Roman" w:hAnsi="Tahoma"/>
                <w:b/>
                <w:bCs/>
                <w:sz w:val="16"/>
                <w:szCs w:val="16"/>
              </w:rPr>
            </w:pPr>
            <w:r w:rsidRPr="00B95F3B">
              <w:rPr>
                <w:rFonts w:ascii="Tahoma" w:eastAsia="Times New Roman" w:hAnsi="Tahoma"/>
                <w:b/>
                <w:bCs/>
                <w:sz w:val="16"/>
                <w:szCs w:val="16"/>
              </w:rPr>
              <w:t>technological</w:t>
            </w:r>
          </w:p>
        </w:tc>
        <w:tc>
          <w:tcPr>
            <w:tcW w:w="2026" w:type="dxa"/>
            <w:tcBorders>
              <w:left w:val="single" w:sz="1" w:space="0" w:color="000000"/>
              <w:bottom w:val="single" w:sz="1" w:space="0" w:color="000000"/>
              <w:right w:val="single" w:sz="1" w:space="0" w:color="000000"/>
            </w:tcBorders>
          </w:tcPr>
          <w:p w:rsidR="00B951D9" w:rsidRDefault="00B951D9">
            <w:pPr>
              <w:pStyle w:val="Heading2"/>
              <w:tabs>
                <w:tab w:val="left" w:pos="0"/>
              </w:tabs>
              <w:snapToGrid w:val="0"/>
              <w:spacing w:before="0" w:after="0"/>
              <w:rPr>
                <w:rFonts w:ascii="Tahoma" w:eastAsia="Times New Roman" w:hAnsi="Tahoma"/>
                <w:sz w:val="16"/>
                <w:lang w:eastAsia="ar-SA"/>
              </w:rPr>
            </w:pPr>
            <w:r>
              <w:rPr>
                <w:rFonts w:ascii="Tahoma" w:eastAsia="Times New Roman" w:hAnsi="Tahoma"/>
                <w:sz w:val="16"/>
                <w:lang w:eastAsia="ar-SA"/>
              </w:rPr>
              <w:t>criteria examples</w:t>
            </w:r>
          </w:p>
          <w:p w:rsidR="00B951D9" w:rsidRDefault="00B951D9">
            <w:pPr>
              <w:pStyle w:val="Heading2"/>
              <w:tabs>
                <w:tab w:val="left" w:pos="0"/>
              </w:tabs>
              <w:spacing w:before="0" w:after="0"/>
              <w:rPr>
                <w:rFonts w:eastAsia="Times New Roman"/>
                <w:b w:val="0"/>
                <w:bCs w:val="0"/>
                <w:sz w:val="16"/>
                <w:lang w:eastAsia="ar-SA"/>
              </w:rPr>
            </w:pPr>
          </w:p>
          <w:p w:rsidR="00B951D9" w:rsidRDefault="00B951D9">
            <w:pPr>
              <w:pStyle w:val="SmallStyle"/>
              <w:rPr>
                <w:szCs w:val="32"/>
                <w:lang w:val="en-US" w:eastAsia="en-US" w:bidi="en-US"/>
              </w:rPr>
            </w:pPr>
            <w:r>
              <w:rPr>
                <w:szCs w:val="32"/>
                <w:lang w:val="en-US" w:eastAsia="en-US" w:bidi="en-US"/>
              </w:rPr>
              <w:t>competing technology development</w:t>
            </w:r>
          </w:p>
          <w:p w:rsidR="00B951D9" w:rsidRDefault="00B951D9">
            <w:pPr>
              <w:pStyle w:val="SmallStyle"/>
              <w:rPr>
                <w:szCs w:val="32"/>
                <w:lang w:val="en-US" w:eastAsia="en-US" w:bidi="en-US"/>
              </w:rPr>
            </w:pPr>
            <w:r>
              <w:rPr>
                <w:szCs w:val="32"/>
                <w:lang w:val="en-US" w:eastAsia="en-US" w:bidi="en-US"/>
              </w:rPr>
              <w:t>research funding</w:t>
            </w:r>
          </w:p>
          <w:p w:rsidR="00B951D9" w:rsidRDefault="00B951D9">
            <w:pPr>
              <w:pStyle w:val="SmallStyle"/>
              <w:rPr>
                <w:szCs w:val="32"/>
                <w:lang w:val="en-US" w:eastAsia="en-US" w:bidi="en-US"/>
              </w:rPr>
            </w:pPr>
            <w:r>
              <w:rPr>
                <w:szCs w:val="32"/>
                <w:lang w:val="en-US" w:eastAsia="en-US" w:bidi="en-US"/>
              </w:rPr>
              <w:t>associated/dependent technologies</w:t>
            </w:r>
          </w:p>
          <w:p w:rsidR="00B951D9" w:rsidRDefault="00B951D9">
            <w:pPr>
              <w:pStyle w:val="SmallStyle"/>
              <w:rPr>
                <w:szCs w:val="32"/>
                <w:lang w:val="en-US" w:eastAsia="en-US" w:bidi="en-US"/>
              </w:rPr>
            </w:pPr>
            <w:r>
              <w:rPr>
                <w:szCs w:val="32"/>
                <w:lang w:val="en-US" w:eastAsia="en-US" w:bidi="en-US"/>
              </w:rPr>
              <w:t>replacement technology/solutions</w:t>
            </w:r>
          </w:p>
          <w:p w:rsidR="00B951D9" w:rsidRDefault="00B951D9">
            <w:pPr>
              <w:pStyle w:val="SmallStyle"/>
              <w:rPr>
                <w:szCs w:val="32"/>
                <w:lang w:val="en-US" w:eastAsia="en-US" w:bidi="en-US"/>
              </w:rPr>
            </w:pPr>
            <w:r>
              <w:rPr>
                <w:szCs w:val="32"/>
                <w:lang w:val="en-US" w:eastAsia="en-US" w:bidi="en-US"/>
              </w:rPr>
              <w:t>maturity of technology</w:t>
            </w:r>
          </w:p>
          <w:p w:rsidR="00B951D9" w:rsidRDefault="00B951D9">
            <w:pPr>
              <w:pStyle w:val="SmallStyle"/>
              <w:rPr>
                <w:szCs w:val="32"/>
                <w:lang w:val="en-US" w:eastAsia="en-US" w:bidi="en-US"/>
              </w:rPr>
            </w:pPr>
            <w:r>
              <w:rPr>
                <w:szCs w:val="32"/>
                <w:lang w:val="en-US" w:eastAsia="en-US" w:bidi="en-US"/>
              </w:rPr>
              <w:t>manufacturing maturity and capacity</w:t>
            </w:r>
          </w:p>
          <w:p w:rsidR="00B951D9" w:rsidRDefault="00B951D9">
            <w:pPr>
              <w:pStyle w:val="SmallStyle"/>
              <w:rPr>
                <w:szCs w:val="32"/>
                <w:lang w:val="en-US" w:eastAsia="en-US" w:bidi="en-US"/>
              </w:rPr>
            </w:pPr>
            <w:r>
              <w:rPr>
                <w:szCs w:val="32"/>
                <w:lang w:val="en-US" w:eastAsia="en-US" w:bidi="en-US"/>
              </w:rPr>
              <w:t>information and communications</w:t>
            </w:r>
          </w:p>
          <w:p w:rsidR="00B951D9" w:rsidRDefault="00B951D9">
            <w:pPr>
              <w:pStyle w:val="SmallStyle"/>
              <w:rPr>
                <w:szCs w:val="32"/>
                <w:lang w:val="en-US" w:eastAsia="en-US" w:bidi="en-US"/>
              </w:rPr>
            </w:pPr>
            <w:r>
              <w:rPr>
                <w:szCs w:val="32"/>
                <w:lang w:val="en-US" w:eastAsia="en-US" w:bidi="en-US"/>
              </w:rPr>
              <w:t>consumer buying mechanisms/technology</w:t>
            </w:r>
          </w:p>
          <w:p w:rsidR="00B951D9" w:rsidRDefault="00B951D9">
            <w:pPr>
              <w:pStyle w:val="SmallStyle"/>
              <w:rPr>
                <w:szCs w:val="32"/>
                <w:lang w:val="en-US" w:eastAsia="en-US" w:bidi="en-US"/>
              </w:rPr>
            </w:pPr>
            <w:r>
              <w:rPr>
                <w:szCs w:val="32"/>
                <w:lang w:val="en-US" w:eastAsia="en-US" w:bidi="en-US"/>
              </w:rPr>
              <w:t>technology legislation</w:t>
            </w:r>
          </w:p>
          <w:p w:rsidR="00B951D9" w:rsidRDefault="00B951D9">
            <w:pPr>
              <w:pStyle w:val="SmallStyle"/>
              <w:rPr>
                <w:szCs w:val="32"/>
                <w:lang w:val="en-US" w:eastAsia="en-US" w:bidi="en-US"/>
              </w:rPr>
            </w:pPr>
            <w:r>
              <w:rPr>
                <w:szCs w:val="32"/>
                <w:lang w:val="en-US" w:eastAsia="en-US" w:bidi="en-US"/>
              </w:rPr>
              <w:t>innovation potential</w:t>
            </w:r>
          </w:p>
          <w:p w:rsidR="00B951D9" w:rsidRDefault="00B951D9">
            <w:pPr>
              <w:pStyle w:val="SmallStyle"/>
              <w:rPr>
                <w:szCs w:val="32"/>
                <w:lang w:val="en-US" w:eastAsia="en-US" w:bidi="en-US"/>
              </w:rPr>
            </w:pPr>
            <w:r>
              <w:rPr>
                <w:szCs w:val="32"/>
                <w:lang w:val="en-US" w:eastAsia="en-US" w:bidi="en-US"/>
              </w:rPr>
              <w:t xml:space="preserve">technology access, </w:t>
            </w:r>
            <w:r w:rsidR="007D3248">
              <w:rPr>
                <w:szCs w:val="32"/>
                <w:lang w:val="en-US" w:eastAsia="en-US" w:bidi="en-US"/>
              </w:rPr>
              <w:t>licensing</w:t>
            </w:r>
            <w:r>
              <w:rPr>
                <w:szCs w:val="32"/>
                <w:lang w:val="en-US" w:eastAsia="en-US" w:bidi="en-US"/>
              </w:rPr>
              <w:t>, patents</w:t>
            </w:r>
          </w:p>
          <w:p w:rsidR="00B951D9" w:rsidRDefault="00B951D9">
            <w:pPr>
              <w:pStyle w:val="SmallStyle"/>
              <w:rPr>
                <w:szCs w:val="32"/>
                <w:lang w:val="en-US" w:eastAsia="en-US" w:bidi="en-US"/>
              </w:rPr>
            </w:pPr>
            <w:r>
              <w:rPr>
                <w:szCs w:val="32"/>
                <w:lang w:val="en-US" w:eastAsia="en-US" w:bidi="en-US"/>
              </w:rPr>
              <w:t>intellectual property issues</w:t>
            </w:r>
          </w:p>
          <w:p w:rsidR="00B951D9" w:rsidRDefault="00B951D9">
            <w:pPr>
              <w:pStyle w:val="SmallStyle"/>
              <w:rPr>
                <w:szCs w:val="32"/>
                <w:lang w:val="en-US" w:eastAsia="en-US" w:bidi="en-US"/>
              </w:rPr>
            </w:pPr>
            <w:r>
              <w:rPr>
                <w:szCs w:val="32"/>
                <w:lang w:val="en-US" w:eastAsia="en-US" w:bidi="en-US"/>
              </w:rPr>
              <w:t>global communications</w:t>
            </w:r>
          </w:p>
        </w:tc>
      </w:tr>
    </w:tbl>
    <w:p w:rsidR="00B951D9" w:rsidRDefault="00B951D9"/>
    <w:p w:rsidR="00B951D9" w:rsidRDefault="00B951D9" w:rsidP="007D3248">
      <w:pPr>
        <w:pStyle w:val="SmallStyle"/>
      </w:pPr>
      <w:r>
        <w:rPr>
          <w:sz w:val="20"/>
          <w:szCs w:val="20"/>
          <w:lang w:val="en-US" w:eastAsia="en-US" w:bidi="en-US"/>
        </w:rPr>
        <w:t xml:space="preserve">Note: PEST analysis can be useful before SWOT analysis because PEST helps to identify SWOT factors. PEST and SWOT are two different perspectives but can contain common factors.  SWOT stands for strengths, weaknesses, opportunities, threats. </w:t>
      </w:r>
    </w:p>
    <w:p w:rsidR="00B951D9" w:rsidRDefault="00B951D9"/>
    <w:p w:rsidR="00B951D9" w:rsidRDefault="00B951D9">
      <w:pPr>
        <w:rPr>
          <w:rFonts w:ascii="Tahoma" w:eastAsia="Times New Roman" w:hAnsi="Tahoma"/>
          <w:sz w:val="16"/>
          <w:szCs w:val="16"/>
          <w:lang w:eastAsia="ar-SA"/>
        </w:rPr>
      </w:pPr>
    </w:p>
    <w:sectPr w:rsidR="00B951D9">
      <w:pgSz w:w="11905" w:h="16837"/>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248"/>
    <w:rsid w:val="007D3248"/>
    <w:rsid w:val="00B951D9"/>
    <w:rsid w:val="00B9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640DEF70-7994-4E54-B625-A0BD8C0EE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pPr>
    <w:rPr>
      <w:rFonts w:eastAsia="Lucida Sans Unicode"/>
      <w:kern w:val="1"/>
      <w:sz w:val="24"/>
      <w:szCs w:val="24"/>
      <w:lang w:val="en-GB"/>
    </w:rPr>
  </w:style>
  <w:style w:type="paragraph" w:styleId="Heading2">
    <w:name w:val="heading 2"/>
    <w:basedOn w:val="Normal"/>
    <w:next w:val="BodyText"/>
    <w:qFormat/>
    <w:pPr>
      <w:numPr>
        <w:ilvl w:val="1"/>
        <w:numId w:val="1"/>
      </w:numPr>
      <w:spacing w:before="280" w:after="280"/>
      <w:ind w:left="0" w:firstLine="0"/>
      <w:outlineLvl w:val="1"/>
    </w:pPr>
    <w:rPr>
      <w:b/>
      <w:bCs/>
      <w:sz w:val="36"/>
      <w:szCs w:val="36"/>
    </w:rPr>
  </w:style>
  <w:style w:type="character" w:default="1" w:styleId="DefaultParagraphFont">
    <w:name w:val="Default Paragraph Fon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lang/>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SmallStyle">
    <w:name w:val="SmallStyle"/>
    <w:basedOn w:val="Normal"/>
    <w:rPr>
      <w:rFonts w:ascii="Tahoma" w:eastAsia="Times New Roman" w:hAnsi="Tahoma"/>
      <w:sz w:val="16"/>
      <w:lang w:eastAsia="ar-SA"/>
    </w:rPr>
  </w:style>
  <w:style w:type="paragraph" w:customStyle="1" w:styleId="TableContents">
    <w:name w:val="Table Contents"/>
    <w:basedOn w:val="Normal"/>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chapman</dc:creator>
  <cp:keywords/>
  <cp:lastModifiedBy>Muscaro, Alexis</cp:lastModifiedBy>
  <cp:revision>2</cp:revision>
  <cp:lastPrinted>1601-01-01T00:00:00Z</cp:lastPrinted>
  <dcterms:created xsi:type="dcterms:W3CDTF">2019-07-12T15:56:00Z</dcterms:created>
  <dcterms:modified xsi:type="dcterms:W3CDTF">2019-07-12T15:56:00Z</dcterms:modified>
</cp:coreProperties>
</file>